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BF5" w:rsidRDefault="00F62BF5"/>
    <w:p w:rsidR="00F62BF5" w:rsidRDefault="00F62BF5"/>
    <w:p w:rsidR="00F62BF5" w:rsidRDefault="00F62BF5"/>
    <w:tbl>
      <w:tblPr>
        <w:tblW w:w="10680" w:type="dxa"/>
        <w:tblCellSpacing w:w="0" w:type="dxa"/>
        <w:tblCellMar>
          <w:left w:w="0" w:type="dxa"/>
          <w:right w:w="0" w:type="dxa"/>
        </w:tblCellMar>
        <w:tblLook w:val="04A0" w:firstRow="1" w:lastRow="0" w:firstColumn="1" w:lastColumn="0" w:noHBand="0" w:noVBand="1"/>
      </w:tblPr>
      <w:tblGrid>
        <w:gridCol w:w="240"/>
        <w:gridCol w:w="1680"/>
        <w:gridCol w:w="457"/>
        <w:gridCol w:w="240"/>
        <w:gridCol w:w="240"/>
        <w:gridCol w:w="720"/>
        <w:gridCol w:w="480"/>
        <w:gridCol w:w="240"/>
        <w:gridCol w:w="480"/>
        <w:gridCol w:w="720"/>
        <w:gridCol w:w="240"/>
        <w:gridCol w:w="480"/>
        <w:gridCol w:w="720"/>
        <w:gridCol w:w="1200"/>
        <w:gridCol w:w="480"/>
        <w:gridCol w:w="75"/>
        <w:gridCol w:w="165"/>
        <w:gridCol w:w="480"/>
        <w:gridCol w:w="45"/>
        <w:gridCol w:w="195"/>
        <w:gridCol w:w="1046"/>
        <w:gridCol w:w="47"/>
        <w:gridCol w:w="10"/>
      </w:tblGrid>
      <w:tr w:rsidR="00F62BF5" w:rsidRPr="00F62BF5" w:rsidTr="00F62BF5">
        <w:trPr>
          <w:trHeight w:val="420"/>
          <w:tblCellSpacing w:w="0" w:type="dxa"/>
        </w:trPr>
        <w:tc>
          <w:tcPr>
            <w:tcW w:w="2377" w:type="dxa"/>
            <w:gridSpan w:val="3"/>
            <w:vMerge w:val="restart"/>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6960" w:type="dxa"/>
            <w:gridSpan w:val="15"/>
            <w:vMerge w:val="restart"/>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r w:rsidRPr="00F62BF5">
              <w:rPr>
                <w:rFonts w:ascii="Arial" w:eastAsia="Times New Roman" w:hAnsi="Arial" w:cs="Arial"/>
                <w:noProof/>
                <w:color w:val="333333"/>
                <w:sz w:val="17"/>
                <w:szCs w:val="17"/>
              </w:rPr>
              <w:drawing>
                <wp:inline distT="0" distB="0" distL="0" distR="0" wp14:anchorId="4FD17B9C" wp14:editId="327FE817">
                  <wp:extent cx="4286250" cy="666750"/>
                  <wp:effectExtent l="0" t="0" r="0" b="0"/>
                  <wp:docPr id="1" name="Picture 1" descr="http://www.lastormwater.org/Siteorg/education/bmps/bmp_elim_fats_tit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lastormwater.org/Siteorg/education/bmps/bmp_elim_fats_titl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0" cy="666750"/>
                          </a:xfrm>
                          <a:prstGeom prst="rect">
                            <a:avLst/>
                          </a:prstGeom>
                          <a:noFill/>
                          <a:ln>
                            <a:noFill/>
                          </a:ln>
                        </pic:spPr>
                      </pic:pic>
                    </a:graphicData>
                  </a:graphic>
                </wp:inline>
              </w:drawing>
            </w:r>
          </w:p>
        </w:tc>
        <w:tc>
          <w:tcPr>
            <w:tcW w:w="1333" w:type="dxa"/>
            <w:gridSpan w:val="4"/>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10" w:type="dxa"/>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r>
      <w:tr w:rsidR="00F62BF5" w:rsidRPr="00F62BF5" w:rsidTr="00F62BF5">
        <w:trPr>
          <w:trHeight w:val="840"/>
          <w:tblCellSpacing w:w="0" w:type="dxa"/>
        </w:trPr>
        <w:tc>
          <w:tcPr>
            <w:tcW w:w="0" w:type="auto"/>
            <w:gridSpan w:val="3"/>
            <w:vMerge/>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0" w:type="auto"/>
            <w:gridSpan w:val="15"/>
            <w:vMerge/>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45" w:type="dxa"/>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1241" w:type="dxa"/>
            <w:gridSpan w:val="2"/>
            <w:vMerge w:val="restart"/>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47" w:type="dxa"/>
            <w:vMerge w:val="restart"/>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10" w:type="dxa"/>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r>
      <w:tr w:rsidR="00F62BF5" w:rsidRPr="00F62BF5" w:rsidTr="00F62BF5">
        <w:trPr>
          <w:trHeight w:val="1560"/>
          <w:tblCellSpacing w:w="0" w:type="dxa"/>
        </w:trPr>
        <w:tc>
          <w:tcPr>
            <w:tcW w:w="2377" w:type="dxa"/>
            <w:gridSpan w:val="3"/>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6315" w:type="dxa"/>
            <w:gridSpan w:val="13"/>
            <w:hideMark/>
          </w:tcPr>
          <w:p w:rsidR="00F62BF5" w:rsidRPr="00F62BF5" w:rsidRDefault="00F62BF5" w:rsidP="00F62BF5">
            <w:pPr>
              <w:rPr>
                <w:rFonts w:ascii="Arial" w:eastAsia="Times New Roman" w:hAnsi="Arial" w:cs="Arial"/>
                <w:color w:val="333333"/>
                <w:sz w:val="17"/>
                <w:szCs w:val="17"/>
              </w:rPr>
            </w:pPr>
            <w:r w:rsidRPr="00F62BF5">
              <w:rPr>
                <w:rFonts w:ascii="Arial" w:eastAsia="Times New Roman" w:hAnsi="Arial" w:cs="Arial"/>
                <w:color w:val="333333"/>
                <w:sz w:val="17"/>
                <w:szCs w:val="17"/>
              </w:rPr>
              <w:t>Sewage backups and overflows are typically the result of grease buildup which can cause property damage, environmental problems and other health hazards.</w:t>
            </w:r>
          </w:p>
          <w:p w:rsidR="00F62BF5" w:rsidRPr="00F62BF5" w:rsidRDefault="00F62BF5" w:rsidP="00F62BF5">
            <w:pPr>
              <w:rPr>
                <w:rFonts w:ascii="Arial" w:eastAsia="Times New Roman" w:hAnsi="Arial" w:cs="Arial"/>
                <w:color w:val="333333"/>
                <w:sz w:val="17"/>
                <w:szCs w:val="17"/>
              </w:rPr>
            </w:pPr>
            <w:r w:rsidRPr="00F62BF5">
              <w:rPr>
                <w:rFonts w:ascii="Arial" w:eastAsia="Times New Roman" w:hAnsi="Arial" w:cs="Arial"/>
                <w:color w:val="333333"/>
                <w:sz w:val="17"/>
                <w:szCs w:val="17"/>
              </w:rPr>
              <w:t>Fats, oils and grease get into the sewers mainly from commercial food preparation establishments that do not have adequate grease control measures in place such as grease interceptors. Most grease is the byproduct of cooking and is usually found in such things as:</w:t>
            </w:r>
          </w:p>
        </w:tc>
        <w:tc>
          <w:tcPr>
            <w:tcW w:w="690" w:type="dxa"/>
            <w:gridSpan w:val="3"/>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0" w:type="auto"/>
            <w:gridSpan w:val="2"/>
            <w:vMerge/>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0" w:type="auto"/>
            <w:vMerge/>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10" w:type="dxa"/>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r>
      <w:tr w:rsidR="00F62BF5" w:rsidRPr="00F62BF5" w:rsidTr="00F62BF5">
        <w:trPr>
          <w:trHeight w:val="375"/>
          <w:tblCellSpacing w:w="0" w:type="dxa"/>
        </w:trPr>
        <w:tc>
          <w:tcPr>
            <w:tcW w:w="2857" w:type="dxa"/>
            <w:gridSpan w:val="5"/>
            <w:vMerge w:val="restart"/>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1920" w:type="dxa"/>
            <w:gridSpan w:val="4"/>
            <w:vMerge w:val="restart"/>
            <w:hideMark/>
          </w:tcPr>
          <w:p w:rsidR="00F62BF5" w:rsidRPr="00F62BF5" w:rsidRDefault="00F62BF5" w:rsidP="00F62BF5">
            <w:pPr>
              <w:numPr>
                <w:ilvl w:val="0"/>
                <w:numId w:val="1"/>
              </w:numPr>
              <w:rPr>
                <w:rFonts w:ascii="Arial" w:eastAsia="Times New Roman" w:hAnsi="Arial" w:cs="Arial"/>
                <w:color w:val="333333"/>
                <w:sz w:val="17"/>
                <w:szCs w:val="17"/>
              </w:rPr>
            </w:pPr>
            <w:r w:rsidRPr="00F62BF5">
              <w:rPr>
                <w:rFonts w:ascii="Arial" w:eastAsia="Times New Roman" w:hAnsi="Arial" w:cs="Arial"/>
                <w:color w:val="333333"/>
                <w:sz w:val="17"/>
                <w:szCs w:val="17"/>
              </w:rPr>
              <w:t xml:space="preserve">Food scraps </w:t>
            </w:r>
          </w:p>
          <w:p w:rsidR="00F62BF5" w:rsidRPr="00F62BF5" w:rsidRDefault="00F62BF5" w:rsidP="00F62BF5">
            <w:pPr>
              <w:numPr>
                <w:ilvl w:val="0"/>
                <w:numId w:val="1"/>
              </w:numPr>
              <w:rPr>
                <w:rFonts w:ascii="Arial" w:eastAsia="Times New Roman" w:hAnsi="Arial" w:cs="Arial"/>
                <w:color w:val="333333"/>
                <w:sz w:val="17"/>
                <w:szCs w:val="17"/>
              </w:rPr>
            </w:pPr>
            <w:r w:rsidRPr="00F62BF5">
              <w:rPr>
                <w:rFonts w:ascii="Arial" w:eastAsia="Times New Roman" w:hAnsi="Arial" w:cs="Arial"/>
                <w:color w:val="333333"/>
                <w:sz w:val="17"/>
                <w:szCs w:val="17"/>
              </w:rPr>
              <w:t xml:space="preserve">Meat fats </w:t>
            </w:r>
          </w:p>
          <w:p w:rsidR="00F62BF5" w:rsidRPr="00F62BF5" w:rsidRDefault="00F62BF5" w:rsidP="00F62BF5">
            <w:pPr>
              <w:numPr>
                <w:ilvl w:val="0"/>
                <w:numId w:val="1"/>
              </w:numPr>
              <w:rPr>
                <w:rFonts w:ascii="Arial" w:eastAsia="Times New Roman" w:hAnsi="Arial" w:cs="Arial"/>
                <w:color w:val="333333"/>
                <w:sz w:val="17"/>
                <w:szCs w:val="17"/>
              </w:rPr>
            </w:pPr>
            <w:r w:rsidRPr="00F62BF5">
              <w:rPr>
                <w:rFonts w:ascii="Arial" w:eastAsia="Times New Roman" w:hAnsi="Arial" w:cs="Arial"/>
                <w:color w:val="333333"/>
                <w:sz w:val="17"/>
                <w:szCs w:val="17"/>
              </w:rPr>
              <w:t xml:space="preserve">Lard </w:t>
            </w:r>
          </w:p>
          <w:p w:rsidR="00F62BF5" w:rsidRPr="00F62BF5" w:rsidRDefault="00F62BF5" w:rsidP="00F62BF5">
            <w:pPr>
              <w:numPr>
                <w:ilvl w:val="0"/>
                <w:numId w:val="1"/>
              </w:numPr>
              <w:rPr>
                <w:rFonts w:ascii="Arial" w:eastAsia="Times New Roman" w:hAnsi="Arial" w:cs="Arial"/>
                <w:color w:val="333333"/>
                <w:sz w:val="17"/>
                <w:szCs w:val="17"/>
              </w:rPr>
            </w:pPr>
            <w:r w:rsidRPr="00F62BF5">
              <w:rPr>
                <w:rFonts w:ascii="Arial" w:eastAsia="Times New Roman" w:hAnsi="Arial" w:cs="Arial"/>
                <w:color w:val="333333"/>
                <w:sz w:val="17"/>
                <w:szCs w:val="17"/>
              </w:rPr>
              <w:t xml:space="preserve">Cooking oil </w:t>
            </w:r>
          </w:p>
        </w:tc>
        <w:tc>
          <w:tcPr>
            <w:tcW w:w="1440" w:type="dxa"/>
            <w:gridSpan w:val="3"/>
            <w:vMerge w:val="restart"/>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2400" w:type="dxa"/>
            <w:gridSpan w:val="3"/>
            <w:vMerge w:val="restart"/>
            <w:hideMark/>
          </w:tcPr>
          <w:p w:rsidR="00F62BF5" w:rsidRPr="00F62BF5" w:rsidRDefault="00F62BF5" w:rsidP="00F62BF5">
            <w:pPr>
              <w:numPr>
                <w:ilvl w:val="0"/>
                <w:numId w:val="2"/>
              </w:numPr>
              <w:rPr>
                <w:rFonts w:ascii="Arial" w:eastAsia="Times New Roman" w:hAnsi="Arial" w:cs="Arial"/>
                <w:color w:val="333333"/>
                <w:sz w:val="17"/>
                <w:szCs w:val="17"/>
              </w:rPr>
            </w:pPr>
            <w:r w:rsidRPr="00F62BF5">
              <w:rPr>
                <w:rFonts w:ascii="Arial" w:eastAsia="Times New Roman" w:hAnsi="Arial" w:cs="Arial"/>
                <w:color w:val="333333"/>
                <w:sz w:val="17"/>
                <w:szCs w:val="17"/>
              </w:rPr>
              <w:t xml:space="preserve">Butter and margarine </w:t>
            </w:r>
          </w:p>
          <w:p w:rsidR="00F62BF5" w:rsidRPr="00F62BF5" w:rsidRDefault="00F62BF5" w:rsidP="00F62BF5">
            <w:pPr>
              <w:numPr>
                <w:ilvl w:val="0"/>
                <w:numId w:val="2"/>
              </w:numPr>
              <w:rPr>
                <w:rFonts w:ascii="Arial" w:eastAsia="Times New Roman" w:hAnsi="Arial" w:cs="Arial"/>
                <w:color w:val="333333"/>
                <w:sz w:val="17"/>
                <w:szCs w:val="17"/>
              </w:rPr>
            </w:pPr>
            <w:r w:rsidRPr="00F62BF5">
              <w:rPr>
                <w:rFonts w:ascii="Arial" w:eastAsia="Times New Roman" w:hAnsi="Arial" w:cs="Arial"/>
                <w:color w:val="333333"/>
                <w:sz w:val="17"/>
                <w:szCs w:val="17"/>
              </w:rPr>
              <w:t xml:space="preserve">Baking goods </w:t>
            </w:r>
          </w:p>
          <w:p w:rsidR="00F62BF5" w:rsidRPr="00F62BF5" w:rsidRDefault="00F62BF5" w:rsidP="00F62BF5">
            <w:pPr>
              <w:numPr>
                <w:ilvl w:val="0"/>
                <w:numId w:val="2"/>
              </w:numPr>
              <w:rPr>
                <w:rFonts w:ascii="Arial" w:eastAsia="Times New Roman" w:hAnsi="Arial" w:cs="Arial"/>
                <w:color w:val="333333"/>
                <w:sz w:val="17"/>
                <w:szCs w:val="17"/>
              </w:rPr>
            </w:pPr>
            <w:r w:rsidRPr="00F62BF5">
              <w:rPr>
                <w:rFonts w:ascii="Arial" w:eastAsia="Times New Roman" w:hAnsi="Arial" w:cs="Arial"/>
                <w:color w:val="333333"/>
                <w:sz w:val="17"/>
                <w:szCs w:val="17"/>
              </w:rPr>
              <w:t xml:space="preserve">Sauces </w:t>
            </w:r>
          </w:p>
          <w:p w:rsidR="00F62BF5" w:rsidRPr="00F62BF5" w:rsidRDefault="00F62BF5" w:rsidP="00F62BF5">
            <w:pPr>
              <w:numPr>
                <w:ilvl w:val="0"/>
                <w:numId w:val="2"/>
              </w:numPr>
              <w:rPr>
                <w:rFonts w:ascii="Arial" w:eastAsia="Times New Roman" w:hAnsi="Arial" w:cs="Arial"/>
                <w:color w:val="333333"/>
                <w:sz w:val="17"/>
                <w:szCs w:val="17"/>
              </w:rPr>
            </w:pPr>
            <w:r w:rsidRPr="00F62BF5">
              <w:rPr>
                <w:rFonts w:ascii="Arial" w:eastAsia="Times New Roman" w:hAnsi="Arial" w:cs="Arial"/>
                <w:color w:val="333333"/>
                <w:sz w:val="17"/>
                <w:szCs w:val="17"/>
              </w:rPr>
              <w:t xml:space="preserve">Dairy products </w:t>
            </w:r>
          </w:p>
        </w:tc>
        <w:tc>
          <w:tcPr>
            <w:tcW w:w="765" w:type="dxa"/>
            <w:gridSpan w:val="4"/>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0" w:type="auto"/>
            <w:gridSpan w:val="2"/>
            <w:vMerge/>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0" w:type="auto"/>
            <w:vMerge/>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10" w:type="dxa"/>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r>
      <w:tr w:rsidR="00F62BF5" w:rsidRPr="00F62BF5" w:rsidTr="00F62BF5">
        <w:trPr>
          <w:trHeight w:val="1065"/>
          <w:tblCellSpacing w:w="0" w:type="dxa"/>
        </w:trPr>
        <w:tc>
          <w:tcPr>
            <w:tcW w:w="0" w:type="auto"/>
            <w:gridSpan w:val="5"/>
            <w:vMerge/>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0" w:type="auto"/>
            <w:gridSpan w:val="4"/>
            <w:vMerge/>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0" w:type="auto"/>
            <w:gridSpan w:val="3"/>
            <w:vMerge/>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0" w:type="auto"/>
            <w:gridSpan w:val="3"/>
            <w:vMerge/>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240" w:type="dxa"/>
            <w:gridSpan w:val="2"/>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1766" w:type="dxa"/>
            <w:gridSpan w:val="4"/>
            <w:hideMark/>
          </w:tcPr>
          <w:p w:rsidR="00F62BF5" w:rsidRPr="00F62BF5" w:rsidRDefault="00F62BF5" w:rsidP="00F62BF5">
            <w:pPr>
              <w:rPr>
                <w:rFonts w:ascii="Arial" w:eastAsia="Times New Roman" w:hAnsi="Arial" w:cs="Arial"/>
                <w:color w:val="333333"/>
                <w:sz w:val="17"/>
                <w:szCs w:val="17"/>
              </w:rPr>
            </w:pPr>
          </w:p>
        </w:tc>
        <w:tc>
          <w:tcPr>
            <w:tcW w:w="0" w:type="auto"/>
            <w:vMerge/>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10" w:type="dxa"/>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r>
      <w:tr w:rsidR="00F62BF5" w:rsidRPr="00F62BF5" w:rsidTr="00F62BF5">
        <w:trPr>
          <w:trHeight w:val="1920"/>
          <w:tblCellSpacing w:w="0" w:type="dxa"/>
        </w:trPr>
        <w:tc>
          <w:tcPr>
            <w:tcW w:w="4297" w:type="dxa"/>
            <w:gridSpan w:val="8"/>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6326" w:type="dxa"/>
            <w:gridSpan w:val="13"/>
            <w:vMerge w:val="restart"/>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r w:rsidRPr="00F62BF5">
              <w:rPr>
                <w:rFonts w:ascii="Arial" w:eastAsia="Times New Roman" w:hAnsi="Arial" w:cs="Arial"/>
                <w:noProof/>
                <w:color w:val="333333"/>
                <w:sz w:val="17"/>
                <w:szCs w:val="17"/>
              </w:rPr>
              <w:drawing>
                <wp:inline distT="0" distB="0" distL="0" distR="0" wp14:anchorId="394325F2" wp14:editId="60139904">
                  <wp:extent cx="3810000" cy="3724275"/>
                  <wp:effectExtent l="0" t="0" r="0" b="9525"/>
                  <wp:docPr id="3" name="Picture 3" descr="http://www.lastormwater.org/Siteorg/education/bmps/rest_sewer_pi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lastormwater.org/Siteorg/education/bmps/rest_sewer_pip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3724275"/>
                          </a:xfrm>
                          <a:prstGeom prst="rect">
                            <a:avLst/>
                          </a:prstGeom>
                          <a:noFill/>
                          <a:ln>
                            <a:noFill/>
                          </a:ln>
                        </pic:spPr>
                      </pic:pic>
                    </a:graphicData>
                  </a:graphic>
                </wp:inline>
              </w:drawing>
            </w:r>
          </w:p>
        </w:tc>
        <w:tc>
          <w:tcPr>
            <w:tcW w:w="0" w:type="auto"/>
            <w:vMerge/>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10" w:type="dxa"/>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r>
      <w:tr w:rsidR="00F62BF5" w:rsidRPr="00F62BF5" w:rsidTr="00F62BF5">
        <w:trPr>
          <w:trHeight w:val="2640"/>
          <w:tblCellSpacing w:w="0" w:type="dxa"/>
        </w:trPr>
        <w:tc>
          <w:tcPr>
            <w:tcW w:w="4057" w:type="dxa"/>
            <w:gridSpan w:val="7"/>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r w:rsidRPr="00F62BF5">
              <w:rPr>
                <w:rFonts w:ascii="Arial" w:eastAsia="Times New Roman" w:hAnsi="Arial" w:cs="Arial"/>
                <w:color w:val="333333"/>
                <w:sz w:val="17"/>
                <w:szCs w:val="17"/>
              </w:rPr>
              <w:t xml:space="preserve">All too often, fats, oils and grease are washed into the plumbing system, (usually through kitchen sinks and floor drains found in food preparation areas) and stick to the insides of sewer pipes both on your property and in the streets. </w:t>
            </w:r>
          </w:p>
          <w:p w:rsidR="00F62BF5" w:rsidRPr="00F62BF5" w:rsidRDefault="00F62BF5" w:rsidP="00F62BF5">
            <w:pPr>
              <w:rPr>
                <w:rFonts w:ascii="Arial" w:eastAsia="Times New Roman" w:hAnsi="Arial" w:cs="Arial"/>
                <w:color w:val="333333"/>
                <w:sz w:val="17"/>
                <w:szCs w:val="17"/>
              </w:rPr>
            </w:pPr>
            <w:r w:rsidRPr="00F62BF5">
              <w:rPr>
                <w:rFonts w:ascii="Arial" w:eastAsia="Times New Roman" w:hAnsi="Arial" w:cs="Arial"/>
                <w:color w:val="333333"/>
                <w:sz w:val="17"/>
                <w:szCs w:val="17"/>
              </w:rPr>
              <w:t>Over time, fats, oils and grease builds up and eventually blocks the entire pipe causing sewage backups and overflows.</w:t>
            </w:r>
          </w:p>
          <w:p w:rsidR="00F62BF5" w:rsidRPr="00F62BF5" w:rsidRDefault="00F62BF5" w:rsidP="00F62BF5">
            <w:pPr>
              <w:rPr>
                <w:rFonts w:ascii="Arial" w:eastAsia="Times New Roman" w:hAnsi="Arial" w:cs="Arial"/>
                <w:color w:val="333333"/>
                <w:sz w:val="17"/>
                <w:szCs w:val="17"/>
              </w:rPr>
            </w:pPr>
            <w:r w:rsidRPr="00F62BF5">
              <w:rPr>
                <w:rFonts w:ascii="Arial" w:eastAsia="Times New Roman" w:hAnsi="Arial" w:cs="Arial"/>
                <w:color w:val="333333"/>
                <w:sz w:val="17"/>
                <w:szCs w:val="17"/>
              </w:rPr>
              <w:t xml:space="preserve">The image below is a photograph taken of a sewer line via a remote Closed Circuit Television (CCTV). </w:t>
            </w:r>
            <w:proofErr w:type="gramStart"/>
            <w:r w:rsidRPr="00F62BF5">
              <w:rPr>
                <w:rFonts w:ascii="Arial" w:eastAsia="Times New Roman" w:hAnsi="Arial" w:cs="Arial"/>
                <w:color w:val="333333"/>
                <w:sz w:val="17"/>
                <w:szCs w:val="17"/>
              </w:rPr>
              <w:t>and</w:t>
            </w:r>
            <w:proofErr w:type="gramEnd"/>
            <w:r w:rsidRPr="00F62BF5">
              <w:rPr>
                <w:rFonts w:ascii="Arial" w:eastAsia="Times New Roman" w:hAnsi="Arial" w:cs="Arial"/>
                <w:color w:val="333333"/>
                <w:sz w:val="17"/>
                <w:szCs w:val="17"/>
              </w:rPr>
              <w:t xml:space="preserve"> shows the accumulation of hardened grease around the sewer pipe interior.</w:t>
            </w:r>
          </w:p>
        </w:tc>
        <w:tc>
          <w:tcPr>
            <w:tcW w:w="240" w:type="dxa"/>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0" w:type="auto"/>
            <w:gridSpan w:val="13"/>
            <w:vMerge/>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0" w:type="auto"/>
            <w:vMerge/>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10" w:type="dxa"/>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r>
      <w:tr w:rsidR="00F62BF5" w:rsidRPr="00F62BF5" w:rsidTr="00F62BF5">
        <w:trPr>
          <w:trHeight w:val="1920"/>
          <w:tblCellSpacing w:w="0" w:type="dxa"/>
        </w:trPr>
        <w:tc>
          <w:tcPr>
            <w:tcW w:w="2857" w:type="dxa"/>
            <w:gridSpan w:val="5"/>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r w:rsidRPr="00F62BF5">
              <w:rPr>
                <w:rFonts w:ascii="Arial" w:eastAsia="Times New Roman" w:hAnsi="Arial" w:cs="Arial"/>
                <w:noProof/>
                <w:color w:val="0000FF"/>
                <w:sz w:val="17"/>
                <w:szCs w:val="17"/>
              </w:rPr>
              <w:drawing>
                <wp:inline distT="0" distB="0" distL="0" distR="0" wp14:anchorId="57B16E26" wp14:editId="4CDB98B9">
                  <wp:extent cx="1714500" cy="1171575"/>
                  <wp:effectExtent l="0" t="0" r="0" b="9525"/>
                  <wp:docPr id="4" name="Picture 4" descr="http://www.lastormwater.org/Siteorg/education/bmps/clogged_sewer1.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lastormwater.org/Siteorg/education/bmps/clogged_sewer1.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0" cy="1171575"/>
                          </a:xfrm>
                          <a:prstGeom prst="rect">
                            <a:avLst/>
                          </a:prstGeom>
                          <a:noFill/>
                          <a:ln>
                            <a:noFill/>
                          </a:ln>
                        </pic:spPr>
                      </pic:pic>
                    </a:graphicData>
                  </a:graphic>
                </wp:inline>
              </w:drawing>
            </w:r>
          </w:p>
        </w:tc>
        <w:tc>
          <w:tcPr>
            <w:tcW w:w="1440" w:type="dxa"/>
            <w:gridSpan w:val="3"/>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0" w:type="auto"/>
            <w:gridSpan w:val="13"/>
            <w:vMerge/>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0" w:type="auto"/>
            <w:vMerge/>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10" w:type="dxa"/>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r>
      <w:tr w:rsidR="00F62BF5" w:rsidRPr="00F62BF5" w:rsidTr="00F62BF5">
        <w:trPr>
          <w:trHeight w:val="240"/>
          <w:tblCellSpacing w:w="0" w:type="dxa"/>
        </w:trPr>
        <w:tc>
          <w:tcPr>
            <w:tcW w:w="2617" w:type="dxa"/>
            <w:gridSpan w:val="4"/>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8053" w:type="dxa"/>
            <w:gridSpan w:val="18"/>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10" w:type="dxa"/>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r>
      <w:tr w:rsidR="00F62BF5" w:rsidRPr="00F62BF5" w:rsidTr="00F62BF5">
        <w:trPr>
          <w:trHeight w:val="240"/>
          <w:tblCellSpacing w:w="0" w:type="dxa"/>
        </w:trPr>
        <w:tc>
          <w:tcPr>
            <w:tcW w:w="10623" w:type="dxa"/>
            <w:gridSpan w:val="21"/>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r w:rsidRPr="00F62BF5">
              <w:rPr>
                <w:rFonts w:ascii="Arial" w:eastAsia="Times New Roman" w:hAnsi="Arial" w:cs="Arial"/>
                <w:color w:val="333333"/>
                <w:sz w:val="17"/>
                <w:szCs w:val="17"/>
              </w:rPr>
              <w:lastRenderedPageBreak/>
              <w:pict>
                <v:rect id="_x0000_i1025" style="width:525pt;height:1.5pt" o:hrpct="0" o:hralign="center" o:hrstd="t" o:hr="t" fillcolor="#a0a0a0" stroked="f"/>
              </w:pict>
            </w:r>
          </w:p>
        </w:tc>
        <w:tc>
          <w:tcPr>
            <w:tcW w:w="47" w:type="dxa"/>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10" w:type="dxa"/>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r>
      <w:tr w:rsidR="00F62BF5" w:rsidRPr="00F62BF5" w:rsidTr="00F62BF5">
        <w:trPr>
          <w:trHeight w:val="480"/>
          <w:tblCellSpacing w:w="0" w:type="dxa"/>
        </w:trPr>
        <w:tc>
          <w:tcPr>
            <w:tcW w:w="240" w:type="dxa"/>
            <w:vMerge w:val="restart"/>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2617" w:type="dxa"/>
            <w:gridSpan w:val="4"/>
            <w:hideMark/>
          </w:tcPr>
          <w:p w:rsidR="00F62BF5" w:rsidRPr="00F62BF5" w:rsidRDefault="00F62BF5" w:rsidP="00F62BF5">
            <w:pPr>
              <w:outlineLvl w:val="1"/>
              <w:rPr>
                <w:rFonts w:ascii="Arial" w:eastAsia="Times New Roman" w:hAnsi="Arial" w:cs="Arial"/>
                <w:b/>
                <w:bCs/>
                <w:color w:val="006699"/>
                <w:sz w:val="18"/>
                <w:szCs w:val="18"/>
              </w:rPr>
            </w:pPr>
            <w:r w:rsidRPr="00F62BF5">
              <w:rPr>
                <w:rFonts w:ascii="Arial" w:eastAsia="Times New Roman" w:hAnsi="Arial" w:cs="Arial"/>
                <w:b/>
                <w:bCs/>
                <w:color w:val="006699"/>
                <w:sz w:val="18"/>
                <w:szCs w:val="18"/>
              </w:rPr>
              <w:t>Costs To Your Business:</w:t>
            </w:r>
          </w:p>
        </w:tc>
        <w:tc>
          <w:tcPr>
            <w:tcW w:w="4080" w:type="dxa"/>
            <w:gridSpan w:val="8"/>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1920" w:type="dxa"/>
            <w:gridSpan w:val="4"/>
            <w:hideMark/>
          </w:tcPr>
          <w:p w:rsidR="00F62BF5" w:rsidRPr="00F62BF5" w:rsidRDefault="00F62BF5" w:rsidP="00F62BF5">
            <w:pPr>
              <w:jc w:val="center"/>
              <w:outlineLvl w:val="1"/>
              <w:rPr>
                <w:rFonts w:ascii="Arial" w:eastAsia="Times New Roman" w:hAnsi="Arial" w:cs="Arial"/>
                <w:b/>
                <w:bCs/>
                <w:color w:val="006699"/>
                <w:sz w:val="18"/>
                <w:szCs w:val="18"/>
              </w:rPr>
            </w:pPr>
            <w:r w:rsidRPr="00F62BF5">
              <w:rPr>
                <w:rFonts w:ascii="Arial" w:eastAsia="Times New Roman" w:hAnsi="Arial" w:cs="Arial"/>
                <w:b/>
                <w:bCs/>
                <w:color w:val="006699"/>
                <w:sz w:val="18"/>
                <w:szCs w:val="18"/>
              </w:rPr>
              <w:t>Costs To You</w:t>
            </w:r>
          </w:p>
        </w:tc>
        <w:tc>
          <w:tcPr>
            <w:tcW w:w="1813" w:type="dxa"/>
            <w:gridSpan w:val="5"/>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10" w:type="dxa"/>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r>
      <w:tr w:rsidR="00F62BF5" w:rsidRPr="00F62BF5" w:rsidTr="00F62BF5">
        <w:trPr>
          <w:trHeight w:val="240"/>
          <w:tblCellSpacing w:w="0" w:type="dxa"/>
        </w:trPr>
        <w:tc>
          <w:tcPr>
            <w:tcW w:w="0" w:type="auto"/>
            <w:vMerge/>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1680" w:type="dxa"/>
            <w:vMerge w:val="restart"/>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r w:rsidRPr="00F62BF5">
              <w:rPr>
                <w:rFonts w:ascii="Arial" w:eastAsia="Times New Roman" w:hAnsi="Arial" w:cs="Arial"/>
                <w:noProof/>
                <w:color w:val="333333"/>
                <w:sz w:val="17"/>
                <w:szCs w:val="17"/>
              </w:rPr>
              <w:drawing>
                <wp:inline distT="0" distB="0" distL="0" distR="0" wp14:anchorId="2EEDF62F" wp14:editId="7A0A39C5">
                  <wp:extent cx="952500" cy="847725"/>
                  <wp:effectExtent l="0" t="0" r="0" b="9525"/>
                  <wp:docPr id="5" name="Picture 5" descr="http://www.lastormwater.org/Siteorg/education/bmps/vermin_inf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lastormwater.org/Siteorg/education/bmps/vermin_infes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847725"/>
                          </a:xfrm>
                          <a:prstGeom prst="rect">
                            <a:avLst/>
                          </a:prstGeom>
                          <a:noFill/>
                          <a:ln>
                            <a:noFill/>
                          </a:ln>
                        </pic:spPr>
                      </pic:pic>
                    </a:graphicData>
                  </a:graphic>
                </wp:inline>
              </w:drawing>
            </w:r>
          </w:p>
        </w:tc>
        <w:tc>
          <w:tcPr>
            <w:tcW w:w="8750" w:type="dxa"/>
            <w:gridSpan w:val="20"/>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10" w:type="dxa"/>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r>
      <w:tr w:rsidR="00F62BF5" w:rsidRPr="00F62BF5" w:rsidTr="00F62BF5">
        <w:trPr>
          <w:trHeight w:val="1440"/>
          <w:tblCellSpacing w:w="0" w:type="dxa"/>
        </w:trPr>
        <w:tc>
          <w:tcPr>
            <w:tcW w:w="0" w:type="auto"/>
            <w:vMerge/>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0" w:type="auto"/>
            <w:vMerge/>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3577" w:type="dxa"/>
            <w:gridSpan w:val="8"/>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r w:rsidRPr="00F62BF5">
              <w:rPr>
                <w:rFonts w:ascii="Arial" w:eastAsia="Times New Roman" w:hAnsi="Arial" w:cs="Arial"/>
                <w:color w:val="333333"/>
                <w:sz w:val="17"/>
                <w:szCs w:val="17"/>
              </w:rPr>
              <w:t>As your sewer pipes back up, sewage and food particles that accumulate can attract insects and other vermin and may create potential health hazards.</w:t>
            </w:r>
          </w:p>
        </w:tc>
        <w:tc>
          <w:tcPr>
            <w:tcW w:w="720" w:type="dxa"/>
            <w:gridSpan w:val="2"/>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2640" w:type="dxa"/>
            <w:gridSpan w:val="5"/>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r w:rsidRPr="00F62BF5">
              <w:rPr>
                <w:rFonts w:ascii="Arial" w:eastAsia="Times New Roman" w:hAnsi="Arial" w:cs="Arial"/>
                <w:color w:val="333333"/>
                <w:sz w:val="17"/>
                <w:szCs w:val="17"/>
              </w:rPr>
              <w:t xml:space="preserve">Clogged sewers can lead to overflows. </w:t>
            </w:r>
          </w:p>
          <w:p w:rsidR="00F62BF5" w:rsidRPr="00F62BF5" w:rsidRDefault="00F62BF5" w:rsidP="00F62BF5">
            <w:pPr>
              <w:rPr>
                <w:rFonts w:ascii="Arial" w:eastAsia="Times New Roman" w:hAnsi="Arial" w:cs="Arial"/>
                <w:color w:val="333333"/>
                <w:sz w:val="17"/>
                <w:szCs w:val="17"/>
              </w:rPr>
            </w:pPr>
            <w:r w:rsidRPr="00F62BF5">
              <w:rPr>
                <w:rFonts w:ascii="Arial" w:eastAsia="Times New Roman" w:hAnsi="Arial" w:cs="Arial"/>
                <w:color w:val="333333"/>
                <w:sz w:val="17"/>
                <w:szCs w:val="17"/>
              </w:rPr>
              <w:t>As sewage overflows onto streets, it enters the storm drain system...</w:t>
            </w:r>
          </w:p>
        </w:tc>
        <w:tc>
          <w:tcPr>
            <w:tcW w:w="480" w:type="dxa"/>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1333" w:type="dxa"/>
            <w:gridSpan w:val="4"/>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10" w:type="dxa"/>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r>
      <w:tr w:rsidR="00F62BF5" w:rsidRPr="00F62BF5" w:rsidTr="00F62BF5">
        <w:trPr>
          <w:trHeight w:val="1680"/>
          <w:tblCellSpacing w:w="0" w:type="dxa"/>
        </w:trPr>
        <w:tc>
          <w:tcPr>
            <w:tcW w:w="0" w:type="auto"/>
            <w:vMerge/>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1680" w:type="dxa"/>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r w:rsidRPr="00F62BF5">
              <w:rPr>
                <w:rFonts w:ascii="Arial" w:eastAsia="Times New Roman" w:hAnsi="Arial" w:cs="Arial"/>
                <w:noProof/>
                <w:color w:val="333333"/>
                <w:sz w:val="17"/>
                <w:szCs w:val="17"/>
              </w:rPr>
              <w:drawing>
                <wp:inline distT="0" distB="0" distL="0" distR="0" wp14:anchorId="6B2EE58C" wp14:editId="01291FED">
                  <wp:extent cx="952500" cy="857250"/>
                  <wp:effectExtent l="0" t="0" r="0" b="0"/>
                  <wp:docPr id="7" name="Picture 7" descr="http://www.lastormwater.org/Siteorg/education/bmps/plum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lastormwater.org/Siteorg/education/bmps/plumber.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a:ln>
                            <a:noFill/>
                          </a:ln>
                        </pic:spPr>
                      </pic:pic>
                    </a:graphicData>
                  </a:graphic>
                </wp:inline>
              </w:drawing>
            </w:r>
          </w:p>
        </w:tc>
        <w:tc>
          <w:tcPr>
            <w:tcW w:w="3817" w:type="dxa"/>
            <w:gridSpan w:val="9"/>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r w:rsidRPr="00F62BF5">
              <w:rPr>
                <w:rFonts w:ascii="Arial" w:eastAsia="Times New Roman" w:hAnsi="Arial" w:cs="Arial"/>
                <w:color w:val="333333"/>
                <w:sz w:val="17"/>
                <w:szCs w:val="17"/>
              </w:rPr>
              <w:t>Property damage can result from sewage backups leading to expensive cleanup and plumbing repairs that may have to be paid for by you.</w:t>
            </w:r>
          </w:p>
        </w:tc>
        <w:tc>
          <w:tcPr>
            <w:tcW w:w="480" w:type="dxa"/>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3120" w:type="dxa"/>
            <w:gridSpan w:val="6"/>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r w:rsidRPr="00F62BF5">
              <w:rPr>
                <w:rFonts w:ascii="Arial" w:eastAsia="Times New Roman" w:hAnsi="Arial" w:cs="Arial"/>
                <w:color w:val="333333"/>
                <w:sz w:val="17"/>
                <w:szCs w:val="17"/>
              </w:rPr>
              <w:t>...where the sewage is then carried to our local beaches, creating a health risk for swimmers, marine life—and causing beach closures.</w:t>
            </w:r>
          </w:p>
        </w:tc>
        <w:tc>
          <w:tcPr>
            <w:tcW w:w="1333" w:type="dxa"/>
            <w:gridSpan w:val="4"/>
            <w:vMerge w:val="restart"/>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10" w:type="dxa"/>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r>
      <w:tr w:rsidR="00F62BF5" w:rsidRPr="00F62BF5" w:rsidTr="00F62BF5">
        <w:trPr>
          <w:trHeight w:val="480"/>
          <w:tblCellSpacing w:w="0" w:type="dxa"/>
        </w:trPr>
        <w:tc>
          <w:tcPr>
            <w:tcW w:w="0" w:type="auto"/>
            <w:vMerge/>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1680" w:type="dxa"/>
            <w:vMerge w:val="restart"/>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3817" w:type="dxa"/>
            <w:gridSpan w:val="9"/>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r w:rsidRPr="00F62BF5">
              <w:rPr>
                <w:rFonts w:ascii="Arial" w:eastAsia="Times New Roman" w:hAnsi="Arial" w:cs="Arial"/>
                <w:color w:val="333333"/>
                <w:sz w:val="17"/>
                <w:szCs w:val="17"/>
              </w:rPr>
              <w:t>Health code violations or closures can greatly impact your business operations.</w:t>
            </w:r>
          </w:p>
        </w:tc>
        <w:tc>
          <w:tcPr>
            <w:tcW w:w="3600" w:type="dxa"/>
            <w:gridSpan w:val="7"/>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0" w:type="auto"/>
            <w:gridSpan w:val="4"/>
            <w:vMerge/>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10" w:type="dxa"/>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r>
      <w:tr w:rsidR="00F62BF5" w:rsidRPr="00F62BF5" w:rsidTr="00F62BF5">
        <w:trPr>
          <w:trHeight w:val="480"/>
          <w:tblCellSpacing w:w="0" w:type="dxa"/>
        </w:trPr>
        <w:tc>
          <w:tcPr>
            <w:tcW w:w="0" w:type="auto"/>
            <w:vMerge/>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0" w:type="auto"/>
            <w:vMerge/>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937" w:type="dxa"/>
            <w:gridSpan w:val="3"/>
            <w:vAlign w:val="center"/>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3360" w:type="dxa"/>
            <w:gridSpan w:val="7"/>
          </w:tcPr>
          <w:p w:rsidR="00F62BF5" w:rsidRPr="00F62BF5" w:rsidRDefault="00F62BF5" w:rsidP="00F62BF5">
            <w:pPr>
              <w:jc w:val="center"/>
              <w:outlineLvl w:val="1"/>
              <w:rPr>
                <w:rFonts w:ascii="Arial" w:eastAsia="Times New Roman" w:hAnsi="Arial" w:cs="Arial"/>
                <w:b/>
                <w:bCs/>
                <w:color w:val="006699"/>
                <w:sz w:val="18"/>
                <w:szCs w:val="18"/>
              </w:rPr>
            </w:pPr>
          </w:p>
        </w:tc>
        <w:tc>
          <w:tcPr>
            <w:tcW w:w="4453" w:type="dxa"/>
            <w:gridSpan w:val="10"/>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10" w:type="dxa"/>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r>
      <w:tr w:rsidR="00F62BF5" w:rsidRPr="00F62BF5" w:rsidTr="00F62BF5">
        <w:trPr>
          <w:trHeight w:val="1680"/>
          <w:tblCellSpacing w:w="0" w:type="dxa"/>
        </w:trPr>
        <w:tc>
          <w:tcPr>
            <w:tcW w:w="2617" w:type="dxa"/>
            <w:gridSpan w:val="4"/>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1680" w:type="dxa"/>
            <w:gridSpan w:val="4"/>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3840" w:type="dxa"/>
            <w:gridSpan w:val="6"/>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r w:rsidRPr="00F62BF5">
              <w:rPr>
                <w:rFonts w:ascii="Arial" w:eastAsia="Times New Roman" w:hAnsi="Arial" w:cs="Arial"/>
                <w:color w:val="333333"/>
                <w:sz w:val="17"/>
                <w:szCs w:val="17"/>
              </w:rPr>
              <w:t xml:space="preserve">Increased sewer blockages and overflows lead to excessive and costly maintenance and can result in severe fines from the regulatory agencies. </w:t>
            </w:r>
          </w:p>
          <w:p w:rsidR="00F62BF5" w:rsidRPr="00F62BF5" w:rsidRDefault="00F62BF5" w:rsidP="00F62BF5">
            <w:pPr>
              <w:rPr>
                <w:rFonts w:ascii="Arial" w:eastAsia="Times New Roman" w:hAnsi="Arial" w:cs="Arial"/>
                <w:color w:val="333333"/>
                <w:sz w:val="17"/>
                <w:szCs w:val="17"/>
              </w:rPr>
            </w:pPr>
            <w:r w:rsidRPr="00F62BF5">
              <w:rPr>
                <w:rFonts w:ascii="Arial" w:eastAsia="Times New Roman" w:hAnsi="Arial" w:cs="Arial"/>
                <w:color w:val="333333"/>
                <w:sz w:val="17"/>
                <w:szCs w:val="17"/>
              </w:rPr>
              <w:t>This can increase your sewer fees.</w:t>
            </w:r>
          </w:p>
        </w:tc>
        <w:tc>
          <w:tcPr>
            <w:tcW w:w="2533" w:type="dxa"/>
            <w:gridSpan w:val="8"/>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10" w:type="dxa"/>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r>
      <w:tr w:rsidR="00F62BF5" w:rsidRPr="00F62BF5" w:rsidTr="00F62BF5">
        <w:trPr>
          <w:trHeight w:val="240"/>
          <w:tblCellSpacing w:w="0" w:type="dxa"/>
        </w:trPr>
        <w:tc>
          <w:tcPr>
            <w:tcW w:w="10623" w:type="dxa"/>
            <w:gridSpan w:val="21"/>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r w:rsidRPr="00F62BF5">
              <w:rPr>
                <w:rFonts w:ascii="Arial" w:eastAsia="Times New Roman" w:hAnsi="Arial" w:cs="Arial"/>
                <w:color w:val="333333"/>
                <w:sz w:val="17"/>
                <w:szCs w:val="17"/>
              </w:rPr>
              <w:pict>
                <v:rect id="_x0000_i1026" style="width:525pt;height:1.5pt" o:hrpct="0" o:hralign="center" o:hrstd="t" o:hr="t" fillcolor="#a0a0a0" stroked="f"/>
              </w:pict>
            </w:r>
          </w:p>
        </w:tc>
        <w:tc>
          <w:tcPr>
            <w:tcW w:w="47" w:type="dxa"/>
            <w:vMerge w:val="restart"/>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10" w:type="dxa"/>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r>
      <w:tr w:rsidR="00F62BF5" w:rsidRPr="00F62BF5" w:rsidTr="00F62BF5">
        <w:trPr>
          <w:trHeight w:val="510"/>
          <w:tblCellSpacing w:w="0" w:type="dxa"/>
        </w:trPr>
        <w:tc>
          <w:tcPr>
            <w:tcW w:w="3577" w:type="dxa"/>
            <w:gridSpan w:val="6"/>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7046" w:type="dxa"/>
            <w:gridSpan w:val="15"/>
            <w:vMerge w:val="restart"/>
            <w:hideMark/>
          </w:tcPr>
          <w:p w:rsidR="00F62BF5" w:rsidRPr="00F62BF5" w:rsidRDefault="00F62BF5" w:rsidP="00F62BF5">
            <w:pPr>
              <w:outlineLvl w:val="1"/>
              <w:rPr>
                <w:rFonts w:ascii="Arial" w:eastAsia="Times New Roman" w:hAnsi="Arial" w:cs="Arial"/>
                <w:b/>
                <w:bCs/>
                <w:color w:val="006699"/>
                <w:sz w:val="18"/>
                <w:szCs w:val="18"/>
              </w:rPr>
            </w:pPr>
            <w:r w:rsidRPr="00F62BF5">
              <w:rPr>
                <w:rFonts w:ascii="Arial" w:eastAsia="Times New Roman" w:hAnsi="Arial" w:cs="Arial"/>
                <w:b/>
                <w:bCs/>
                <w:color w:val="006699"/>
                <w:sz w:val="18"/>
                <w:szCs w:val="18"/>
              </w:rPr>
              <w:t>Proper Disposal Methods</w:t>
            </w:r>
          </w:p>
          <w:p w:rsidR="00F62BF5" w:rsidRPr="00F62BF5" w:rsidRDefault="00F62BF5" w:rsidP="00F62BF5">
            <w:pPr>
              <w:rPr>
                <w:rFonts w:ascii="Arial" w:eastAsia="Times New Roman" w:hAnsi="Arial" w:cs="Arial"/>
                <w:color w:val="333333"/>
                <w:sz w:val="17"/>
                <w:szCs w:val="17"/>
              </w:rPr>
            </w:pPr>
            <w:r w:rsidRPr="00F62BF5">
              <w:rPr>
                <w:rFonts w:ascii="Arial" w:eastAsia="Times New Roman" w:hAnsi="Arial" w:cs="Arial"/>
                <w:color w:val="333333"/>
                <w:sz w:val="17"/>
                <w:szCs w:val="17"/>
              </w:rPr>
              <w:t>To stop sewage backups and overflows, you need to keep fats, oils and grease out of the sewer system. The most effective solution is to control fats, oils and grease at the source. Here’s how:</w:t>
            </w:r>
          </w:p>
          <w:p w:rsidR="00F62BF5" w:rsidRPr="00F62BF5" w:rsidRDefault="00F62BF5" w:rsidP="00F62BF5">
            <w:pPr>
              <w:numPr>
                <w:ilvl w:val="0"/>
                <w:numId w:val="3"/>
              </w:numPr>
              <w:rPr>
                <w:rFonts w:ascii="Arial" w:eastAsia="Times New Roman" w:hAnsi="Arial" w:cs="Arial"/>
                <w:color w:val="333333"/>
                <w:sz w:val="17"/>
                <w:szCs w:val="17"/>
              </w:rPr>
            </w:pPr>
            <w:r w:rsidRPr="00F62BF5">
              <w:rPr>
                <w:rFonts w:ascii="Arial" w:eastAsia="Times New Roman" w:hAnsi="Arial" w:cs="Arial"/>
                <w:color w:val="333333"/>
                <w:sz w:val="17"/>
                <w:szCs w:val="17"/>
              </w:rPr>
              <w:t xml:space="preserve">Install a grease interceptor that’s sized and manufactured to handle the amount of grease byproduct anticipated. </w:t>
            </w:r>
          </w:p>
          <w:p w:rsidR="00F62BF5" w:rsidRPr="00F62BF5" w:rsidRDefault="00F62BF5" w:rsidP="00F62BF5">
            <w:pPr>
              <w:numPr>
                <w:ilvl w:val="0"/>
                <w:numId w:val="3"/>
              </w:numPr>
              <w:rPr>
                <w:rFonts w:ascii="Arial" w:eastAsia="Times New Roman" w:hAnsi="Arial" w:cs="Arial"/>
                <w:color w:val="333333"/>
                <w:sz w:val="17"/>
                <w:szCs w:val="17"/>
              </w:rPr>
            </w:pPr>
            <w:r w:rsidRPr="00F62BF5">
              <w:rPr>
                <w:rFonts w:ascii="Arial" w:eastAsia="Times New Roman" w:hAnsi="Arial" w:cs="Arial"/>
                <w:color w:val="333333"/>
                <w:sz w:val="17"/>
                <w:szCs w:val="17"/>
              </w:rPr>
              <w:t xml:space="preserve">Maintain your grease interceptor in proper operating condition by having it cleaned and serviced on a frequent basis. </w:t>
            </w:r>
          </w:p>
          <w:p w:rsidR="00F62BF5" w:rsidRPr="00F62BF5" w:rsidRDefault="00F62BF5" w:rsidP="00F62BF5">
            <w:pPr>
              <w:numPr>
                <w:ilvl w:val="0"/>
                <w:numId w:val="3"/>
              </w:numPr>
              <w:rPr>
                <w:rFonts w:ascii="Arial" w:eastAsia="Times New Roman" w:hAnsi="Arial" w:cs="Arial"/>
                <w:color w:val="333333"/>
                <w:sz w:val="17"/>
                <w:szCs w:val="17"/>
              </w:rPr>
            </w:pPr>
            <w:r w:rsidRPr="00F62BF5">
              <w:rPr>
                <w:rFonts w:ascii="Arial" w:eastAsia="Times New Roman" w:hAnsi="Arial" w:cs="Arial"/>
                <w:color w:val="333333"/>
                <w:sz w:val="17"/>
                <w:szCs w:val="17"/>
              </w:rPr>
              <w:t xml:space="preserve">Implement these Best Management Practices: </w:t>
            </w:r>
          </w:p>
          <w:p w:rsidR="00F62BF5" w:rsidRPr="00F62BF5" w:rsidRDefault="00F62BF5" w:rsidP="00F62BF5">
            <w:pPr>
              <w:numPr>
                <w:ilvl w:val="1"/>
                <w:numId w:val="4"/>
              </w:numPr>
              <w:rPr>
                <w:rFonts w:ascii="Arial" w:eastAsia="Times New Roman" w:hAnsi="Arial" w:cs="Arial"/>
                <w:color w:val="333333"/>
                <w:sz w:val="17"/>
                <w:szCs w:val="17"/>
              </w:rPr>
            </w:pPr>
            <w:r w:rsidRPr="00F62BF5">
              <w:rPr>
                <w:rFonts w:ascii="Arial" w:eastAsia="Times New Roman" w:hAnsi="Arial" w:cs="Arial"/>
                <w:color w:val="333333"/>
                <w:sz w:val="17"/>
                <w:szCs w:val="17"/>
              </w:rPr>
              <w:t xml:space="preserve">Scrape grease and food scraps from trays, plates, pots, pans, utensils, and grills (or other cooking surfaces) into a can or the trash for disposal. </w:t>
            </w:r>
          </w:p>
          <w:p w:rsidR="00F62BF5" w:rsidRPr="00F62BF5" w:rsidRDefault="00F62BF5" w:rsidP="00F62BF5">
            <w:pPr>
              <w:numPr>
                <w:ilvl w:val="1"/>
                <w:numId w:val="4"/>
              </w:numPr>
              <w:rPr>
                <w:rFonts w:ascii="Arial" w:eastAsia="Times New Roman" w:hAnsi="Arial" w:cs="Arial"/>
                <w:color w:val="333333"/>
                <w:sz w:val="17"/>
                <w:szCs w:val="17"/>
              </w:rPr>
            </w:pPr>
            <w:r w:rsidRPr="00F62BF5">
              <w:rPr>
                <w:rFonts w:ascii="Arial" w:eastAsia="Times New Roman" w:hAnsi="Arial" w:cs="Arial"/>
                <w:color w:val="333333"/>
                <w:sz w:val="17"/>
                <w:szCs w:val="17"/>
              </w:rPr>
              <w:t xml:space="preserve">Do not put grease down garbage disposals. Use baskets or strainers in sink drains to catch food scraps and other solids—and dispose of it in the trash. </w:t>
            </w:r>
          </w:p>
        </w:tc>
        <w:tc>
          <w:tcPr>
            <w:tcW w:w="0" w:type="auto"/>
            <w:vMerge/>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10" w:type="dxa"/>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r>
      <w:tr w:rsidR="00F62BF5" w:rsidRPr="00F62BF5" w:rsidTr="00F62BF5">
        <w:trPr>
          <w:trHeight w:val="3420"/>
          <w:tblCellSpacing w:w="0" w:type="dxa"/>
        </w:trPr>
        <w:tc>
          <w:tcPr>
            <w:tcW w:w="240" w:type="dxa"/>
            <w:vMerge w:val="restart"/>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bookmarkStart w:id="0" w:name="_GoBack"/>
            <w:bookmarkEnd w:id="0"/>
          </w:p>
        </w:tc>
        <w:tc>
          <w:tcPr>
            <w:tcW w:w="3337" w:type="dxa"/>
            <w:gridSpan w:val="5"/>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r w:rsidRPr="00F62BF5">
              <w:rPr>
                <w:rFonts w:ascii="Arial" w:eastAsia="Times New Roman" w:hAnsi="Arial" w:cs="Arial"/>
                <w:noProof/>
                <w:color w:val="333333"/>
                <w:sz w:val="17"/>
                <w:szCs w:val="17"/>
              </w:rPr>
              <w:drawing>
                <wp:inline distT="0" distB="0" distL="0" distR="0" wp14:anchorId="3C0D9030" wp14:editId="6F615CB3">
                  <wp:extent cx="1905000" cy="1466850"/>
                  <wp:effectExtent l="0" t="0" r="0" b="0"/>
                  <wp:docPr id="11" name="Picture 11" descr="http://www.lastormwater.org/Siteorg/education/bmps/intercep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lastormwater.org/Siteorg/education/bmps/intercepto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466850"/>
                          </a:xfrm>
                          <a:prstGeom prst="rect">
                            <a:avLst/>
                          </a:prstGeom>
                          <a:noFill/>
                          <a:ln>
                            <a:noFill/>
                          </a:ln>
                        </pic:spPr>
                      </pic:pic>
                    </a:graphicData>
                  </a:graphic>
                </wp:inline>
              </w:drawing>
            </w:r>
          </w:p>
        </w:tc>
        <w:tc>
          <w:tcPr>
            <w:tcW w:w="0" w:type="auto"/>
            <w:gridSpan w:val="15"/>
            <w:vMerge/>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0" w:type="auto"/>
            <w:vMerge/>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10" w:type="dxa"/>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r>
      <w:tr w:rsidR="00F62BF5" w:rsidRPr="00F62BF5" w:rsidTr="00F62BF5">
        <w:trPr>
          <w:trHeight w:val="480"/>
          <w:tblCellSpacing w:w="0" w:type="dxa"/>
        </w:trPr>
        <w:tc>
          <w:tcPr>
            <w:tcW w:w="0" w:type="auto"/>
            <w:vMerge/>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9337" w:type="dxa"/>
            <w:gridSpan w:val="19"/>
            <w:hideMark/>
          </w:tcPr>
          <w:p w:rsidR="00F62BF5" w:rsidRDefault="00F62BF5" w:rsidP="00F62BF5">
            <w:pPr>
              <w:outlineLvl w:val="1"/>
              <w:rPr>
                <w:rFonts w:ascii="Arial" w:eastAsia="Times New Roman" w:hAnsi="Arial" w:cs="Arial"/>
                <w:b/>
                <w:bCs/>
                <w:color w:val="006699"/>
                <w:sz w:val="18"/>
                <w:szCs w:val="18"/>
              </w:rPr>
            </w:pPr>
            <w:r w:rsidRPr="00F62BF5">
              <w:rPr>
                <w:rFonts w:ascii="Arial" w:eastAsia="Times New Roman" w:hAnsi="Arial" w:cs="Arial"/>
                <w:b/>
                <w:bCs/>
                <w:color w:val="006699"/>
                <w:sz w:val="18"/>
                <w:szCs w:val="18"/>
              </w:rPr>
              <w:t>Don’t pour grease into kitchen sinks, floor drains or toilets. Instead, recycle all used grease.</w:t>
            </w:r>
          </w:p>
          <w:p w:rsidR="00F62BF5" w:rsidRPr="00F62BF5" w:rsidRDefault="00F62BF5" w:rsidP="00F62BF5">
            <w:pPr>
              <w:outlineLvl w:val="1"/>
              <w:rPr>
                <w:rFonts w:ascii="Arial" w:eastAsia="Times New Roman" w:hAnsi="Arial" w:cs="Arial"/>
                <w:b/>
                <w:bCs/>
                <w:color w:val="006699"/>
                <w:sz w:val="18"/>
                <w:szCs w:val="18"/>
              </w:rPr>
            </w:pPr>
            <w:r w:rsidRPr="00F62BF5">
              <w:rPr>
                <w:rFonts w:ascii="Arial" w:eastAsia="Times New Roman" w:hAnsi="Arial" w:cs="Arial"/>
                <w:color w:val="333333"/>
                <w:sz w:val="17"/>
                <w:szCs w:val="17"/>
              </w:rPr>
              <w:t>4. Be cautious of chemicals and additives (including soaps and detergents) that claim to dissolve grease. Some additives simply pass grease down pipes where it can clog sewer lines in another area.</w:t>
            </w:r>
          </w:p>
        </w:tc>
        <w:tc>
          <w:tcPr>
            <w:tcW w:w="1093" w:type="dxa"/>
            <w:gridSpan w:val="2"/>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10" w:type="dxa"/>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r>
      <w:tr w:rsidR="00F62BF5" w:rsidRPr="00F62BF5" w:rsidTr="00F62BF5">
        <w:trPr>
          <w:trHeight w:val="2475"/>
          <w:tblCellSpacing w:w="0" w:type="dxa"/>
        </w:trPr>
        <w:tc>
          <w:tcPr>
            <w:tcW w:w="0" w:type="auto"/>
            <w:vMerge/>
            <w:vAlign w:val="center"/>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10383" w:type="dxa"/>
            <w:gridSpan w:val="20"/>
            <w:hideMark/>
          </w:tcPr>
          <w:p w:rsidR="00F62BF5" w:rsidRPr="00F62BF5" w:rsidRDefault="00F62BF5" w:rsidP="00F62BF5">
            <w:pPr>
              <w:spacing w:before="0" w:beforeAutospacing="0" w:after="0" w:afterAutospacing="0"/>
              <w:rPr>
                <w:rFonts w:ascii="Arial" w:eastAsia="Times New Roman" w:hAnsi="Arial" w:cs="Arial"/>
                <w:color w:val="333333"/>
                <w:sz w:val="17"/>
                <w:szCs w:val="17"/>
              </w:rPr>
            </w:pPr>
          </w:p>
        </w:tc>
        <w:tc>
          <w:tcPr>
            <w:tcW w:w="0" w:type="auto"/>
            <w:vAlign w:val="center"/>
            <w:hideMark/>
          </w:tcPr>
          <w:p w:rsidR="00F62BF5" w:rsidRPr="00F62BF5" w:rsidRDefault="00F62BF5" w:rsidP="00F62BF5">
            <w:pPr>
              <w:spacing w:before="0" w:beforeAutospacing="0" w:after="0" w:afterAutospacing="0"/>
              <w:rPr>
                <w:rFonts w:ascii="Times New Roman" w:eastAsia="Times New Roman" w:hAnsi="Times New Roman" w:cs="Times New Roman"/>
                <w:sz w:val="20"/>
                <w:szCs w:val="20"/>
              </w:rPr>
            </w:pPr>
          </w:p>
        </w:tc>
        <w:tc>
          <w:tcPr>
            <w:tcW w:w="0" w:type="auto"/>
            <w:vAlign w:val="center"/>
            <w:hideMark/>
          </w:tcPr>
          <w:p w:rsidR="00F62BF5" w:rsidRPr="00F62BF5" w:rsidRDefault="00F62BF5" w:rsidP="00F62BF5">
            <w:pPr>
              <w:spacing w:before="0" w:beforeAutospacing="0" w:after="0" w:afterAutospacing="0"/>
              <w:rPr>
                <w:rFonts w:ascii="Times New Roman" w:eastAsia="Times New Roman" w:hAnsi="Times New Roman" w:cs="Times New Roman"/>
                <w:sz w:val="20"/>
                <w:szCs w:val="20"/>
              </w:rPr>
            </w:pPr>
          </w:p>
        </w:tc>
      </w:tr>
    </w:tbl>
    <w:p w:rsidR="009A7954" w:rsidRDefault="009A7954"/>
    <w:sectPr w:rsidR="009A79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F3323"/>
    <w:multiLevelType w:val="multilevel"/>
    <w:tmpl w:val="0A944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537054"/>
    <w:multiLevelType w:val="multilevel"/>
    <w:tmpl w:val="50C63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226278"/>
    <w:multiLevelType w:val="multilevel"/>
    <w:tmpl w:val="E324A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BB53DD"/>
    <w:multiLevelType w:val="multilevel"/>
    <w:tmpl w:val="283C0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BF5"/>
    <w:rsid w:val="009A7954"/>
    <w:rsid w:val="00F62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2BF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B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2BF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B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stormwater.org/Siteorg/education/bmps/sewercomm.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5.gif"/><Relationship Id="rId5" Type="http://schemas.openxmlformats.org/officeDocument/2006/relationships/webSettings" Target="webSettings.xml"/><Relationship Id="rId10" Type="http://schemas.openxmlformats.org/officeDocument/2006/relationships/image" Target="media/image4.gif"/><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Don</cp:lastModifiedBy>
  <cp:revision>1</cp:revision>
  <cp:lastPrinted>2011-09-28T21:14:00Z</cp:lastPrinted>
  <dcterms:created xsi:type="dcterms:W3CDTF">2011-09-28T21:09:00Z</dcterms:created>
  <dcterms:modified xsi:type="dcterms:W3CDTF">2011-09-28T21:16:00Z</dcterms:modified>
</cp:coreProperties>
</file>